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</w:t>
      </w:r>
      <w:r w:rsidDel="00000000" w:rsidR="00000000" w:rsidRPr="00000000">
        <w:rPr>
          <w:b w:val="1"/>
          <w:rtl w:val="0"/>
        </w:rPr>
        <w:t xml:space="preserve">TARIA Nº015/2016/PROEN, DE 06</w:t>
      </w:r>
      <w:r w:rsidDel="00000000" w:rsidR="00000000" w:rsidRPr="00000000">
        <w:rPr>
          <w:b w:val="1"/>
          <w:rtl w:val="0"/>
        </w:rPr>
        <w:t xml:space="preserve"> DE SETEMBRO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Renovar a  Portaria Nº006/2016/PROEN, de 28 de abril de 2016 que cria a comissão para avaliação do </w:t>
      </w:r>
      <w:r w:rsidDel="00000000" w:rsidR="00000000" w:rsidRPr="00000000">
        <w:rPr>
          <w:b w:val="1"/>
          <w:rtl w:val="0"/>
        </w:rPr>
        <w:t xml:space="preserve">Curso Superior em Química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Aracati,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2º </w:t>
      </w:r>
      <w:r w:rsidDel="00000000" w:rsidR="00000000" w:rsidRPr="00000000">
        <w:rPr>
          <w:rtl w:val="0"/>
        </w:rPr>
        <w:t xml:space="preserve">- Substituir os docentes Ana Karine Portela Vasconcelos, Siape 2553883 e  </w:t>
      </w:r>
      <w:r w:rsidDel="00000000" w:rsidR="00000000" w:rsidRPr="00000000">
        <w:rPr>
          <w:color w:val="222222"/>
          <w:highlight w:val="white"/>
          <w:rtl w:val="0"/>
        </w:rPr>
        <w:t xml:space="preserve">Wellington Viana de Sousa Reis, </w:t>
      </w:r>
      <w:r w:rsidDel="00000000" w:rsidR="00000000" w:rsidRPr="00000000">
        <w:rPr>
          <w:rtl w:val="0"/>
        </w:rPr>
        <w:t xml:space="preserve">Siape 1043611, pelos docentes </w:t>
      </w:r>
      <w:r w:rsidDel="00000000" w:rsidR="00000000" w:rsidRPr="00000000">
        <w:rPr>
          <w:b w:val="1"/>
          <w:rtl w:val="0"/>
        </w:rPr>
        <w:t xml:space="preserve">Guilherme Augusto Magalhaes Junior, Siape 1716481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 Mayara de Sousa Oliveira, Siape 2811262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 A comissão terá o prazo de 30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setembro d</w:t>
      </w:r>
      <w:r w:rsidDel="00000000" w:rsidR="00000000" w:rsidRPr="00000000">
        <w:rPr>
          <w:rtl w:val="0"/>
        </w:rPr>
        <w:t xml:space="preserve">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