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020/2017/PROEN, DE 14 DE JUNHO DE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Análise e Desenvolvimento de Sistemas, </w:t>
      </w:r>
      <w:r w:rsidDel="00000000" w:rsidR="00000000" w:rsidRPr="00000000">
        <w:rPr>
          <w:rtl w:val="0"/>
        </w:rPr>
        <w:t xml:space="preserve">modalidade tecnologia,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Canindé, tomando por base o Instrumental de Avaliação de Cursos Superiores, aprovado pelo Conselho Superior - Resolução Nº 025 de 25/10/2013.</w:t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I. Jarbiani Sucupira Alves de Castro - Chefe do Departamento de Ensino Superior - Siape 1795116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II. Carlos </w:t>
      </w:r>
      <w:r w:rsidDel="00000000" w:rsidR="00000000" w:rsidRPr="00000000">
        <w:rPr>
          <w:rtl w:val="0"/>
        </w:rPr>
        <w:t xml:space="preserve">Henrique da Silva Sousa - Bibliotecário - Siape 1675407 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III. Leonara Rocha dos Santos Castro </w:t>
      </w:r>
      <w:r w:rsidDel="00000000" w:rsidR="00000000" w:rsidRPr="00000000">
        <w:rPr>
          <w:rtl w:val="0"/>
        </w:rPr>
        <w:t xml:space="preserve">- Pedagoga - Siape 2164704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color w:val="222222"/>
          <w:highlight w:val="white"/>
          <w:rtl w:val="0"/>
        </w:rPr>
        <w:t xml:space="preserve">Thiago Queiroz de Oliveira </w:t>
      </w:r>
      <w:r w:rsidDel="00000000" w:rsidR="00000000" w:rsidRPr="00000000">
        <w:rPr>
          <w:rtl w:val="0"/>
        </w:rPr>
        <w:t xml:space="preserve">- Docente - Siape </w:t>
      </w:r>
      <w:r w:rsidDel="00000000" w:rsidR="00000000" w:rsidRPr="00000000">
        <w:rPr>
          <w:color w:val="222222"/>
          <w:highlight w:val="white"/>
          <w:rtl w:val="0"/>
        </w:rPr>
        <w:t xml:space="preserve">1981232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V. Reinaldo Bezerra Braga   - Docente - Siape 2134464</w:t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ind w:firstLine="72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14 de junho </w:t>
      </w:r>
      <w:r w:rsidDel="00000000" w:rsidR="00000000" w:rsidRPr="00000000">
        <w:rPr>
          <w:rtl w:val="0"/>
        </w:rPr>
        <w:t xml:space="preserve">de 2017.</w:t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Pró-reitor de Ensino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