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36/2015/PROEN, DE 21 DE JULHO 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organizadora para o concurso vestibular do programa Universidade Aberta do Brasil (UAB).</w:t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 comissão organizadora responsável pelo planejamento e acompanhamento do vestibular UAB/DEaD 2015, será composta pelos servidores nominados a seguir: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2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2775"/>
        <w:gridCol w:w="1680"/>
        <w:tblGridChange w:id="0">
          <w:tblGrid>
            <w:gridCol w:w="3795"/>
            <w:gridCol w:w="2775"/>
            <w:gridCol w:w="1680"/>
          </w:tblGrid>
        </w:tblGridChange>
      </w:tblGrid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21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SERVIDOR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105" w:right="0" w:firstLine="3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CARGO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240" w:right="0" w:hanging="75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MAT. SIAPE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10" w:firstLine="0"/>
              <w:contextualSpacing w:val="0"/>
            </w:pPr>
            <w:r w:rsidDel="00000000" w:rsidR="00000000" w:rsidRPr="00000000">
              <w:rPr>
                <w:highlight w:val="white"/>
                <w:rtl w:val="0"/>
              </w:rPr>
              <w:t xml:space="preserve">Elizabete Lopes Rodrigues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105" w:right="0" w:firstLine="30"/>
              <w:contextualSpacing w:val="0"/>
              <w:jc w:val="left"/>
            </w:pPr>
            <w:r w:rsidDel="00000000" w:rsidR="00000000" w:rsidRPr="00000000">
              <w:rPr>
                <w:highlight w:val="white"/>
                <w:rtl w:val="0"/>
              </w:rPr>
              <w:t xml:space="preserve">Coordenadora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240" w:right="0" w:hanging="75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269585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1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Márcia Roxana da Silva Régis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105" w:right="0" w:firstLine="30"/>
              <w:contextualSpacing w:val="0"/>
              <w:jc w:val="left"/>
            </w:pPr>
            <w:r w:rsidDel="00000000" w:rsidR="00000000" w:rsidRPr="00000000">
              <w:rPr>
                <w:highlight w:val="white"/>
                <w:rtl w:val="0"/>
              </w:rPr>
              <w:t xml:space="preserve">Coordenadora Adjunta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240" w:right="0" w:hanging="75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1811152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1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Guilherme Brito de Lacerda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105" w:right="0" w:firstLine="3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Membro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240" w:right="0" w:hanging="75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125655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1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João Hermínio da Rosa Golçalves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105" w:right="0" w:firstLine="3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Membro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240" w:right="0" w:hanging="75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1276550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1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Maria Irene Silva de Moura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105" w:right="0" w:firstLine="3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Membro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240" w:right="0" w:hanging="75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0986442</w:t>
            </w:r>
          </w:p>
        </w:tc>
      </w:tr>
      <w:t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21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Antonio Carlos Sousa da Ponte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ind w:left="105" w:firstLine="30"/>
              <w:contextualSpacing w:val="0"/>
            </w:pPr>
            <w:r w:rsidDel="00000000" w:rsidR="00000000" w:rsidRPr="00000000">
              <w:rPr>
                <w:rtl w:val="0"/>
              </w:rPr>
              <w:t xml:space="preserve">Membro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tcMar>
              <w:top w:w="45.35433070866142" w:type="dxa"/>
              <w:left w:w="45.35433070866142" w:type="dxa"/>
              <w:bottom w:w="45.35433070866142" w:type="dxa"/>
              <w:right w:w="45.35433070866142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240" w:right="0" w:hanging="75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269946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Por motivo de ocorrência de fatos não previstos no edital a comissão poderá reprogramar as datas estabelecidas no cronograma, visando a garantia da partcipação igualitária de todos os candidatos.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21 de julho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Jarbiani Sucupira Alves de Castro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em exercício</w:t>
      </w: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