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drawing>
          <wp:inline distB="19050" distT="19050" distL="19050" distR="19050">
            <wp:extent cx="581025" cy="5810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SERVIÇO PÚBLICO FEDERAL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PORTARIA Nº </w:t>
      </w:r>
      <w:r w:rsidDel="00000000" w:rsidR="00000000" w:rsidRPr="00000000">
        <w:rPr>
          <w:b w:val="1"/>
          <w:rtl w:val="0"/>
        </w:rPr>
        <w:t xml:space="preserve">012</w:t>
      </w:r>
      <w:r w:rsidDel="00000000" w:rsidR="00000000" w:rsidRPr="00000000">
        <w:rPr>
          <w:b w:val="1"/>
          <w:rtl w:val="0"/>
        </w:rPr>
        <w:t xml:space="preserve">/2015/PROEN, DE </w:t>
      </w:r>
      <w:r w:rsidDel="00000000" w:rsidR="00000000" w:rsidRPr="00000000">
        <w:rPr>
          <w:b w:val="1"/>
          <w:rtl w:val="0"/>
        </w:rPr>
        <w:t xml:space="preserve">19 DE </w:t>
      </w:r>
      <w:r w:rsidDel="00000000" w:rsidR="00000000" w:rsidRPr="00000000">
        <w:rPr>
          <w:b w:val="1"/>
          <w:rtl w:val="0"/>
        </w:rPr>
        <w:t xml:space="preserve">JANEIRO DE 2015</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ind w:left="720" w:firstLine="720"/>
        <w:contextualSpacing w:val="0"/>
        <w:jc w:val="both"/>
      </w:pPr>
      <w:r w:rsidDel="00000000" w:rsidR="00000000" w:rsidRPr="00000000">
        <w:rPr>
          <w:b w:val="1"/>
          <w:rtl w:val="0"/>
        </w:rPr>
        <w:t xml:space="preserve">O PRÓ-REITOR DE ENSINO DO INSTITUTO FEDERAL DE EDUCAÇÃO, CIÊNCIA E TECNOLOGIA DO CEARÁ,</w:t>
      </w:r>
      <w:r w:rsidDel="00000000" w:rsidR="00000000" w:rsidRPr="00000000">
        <w:rPr>
          <w:rtl w:val="0"/>
        </w:rPr>
        <w:t xml:space="preserve"> no uso de suas atribuições, considerando a Portaria Nº 298 de 12 de março de 2013 e a Portaria Nº 200/GR, de 28 de fevereiro de 2014.</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RESOLVE</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Art. 1º</w:t>
      </w:r>
      <w:r w:rsidDel="00000000" w:rsidR="00000000" w:rsidRPr="00000000">
        <w:rPr>
          <w:rtl w:val="0"/>
        </w:rPr>
        <w:t xml:space="preserve"> - Nomear coordenadores operacionais II (</w:t>
      </w:r>
      <w:r w:rsidDel="00000000" w:rsidR="00000000" w:rsidRPr="00000000">
        <w:rPr>
          <w:b w:val="1"/>
          <w:rtl w:val="0"/>
        </w:rPr>
        <w:t xml:space="preserve">Coordenador Divulgação</w:t>
      </w:r>
      <w:r w:rsidDel="00000000" w:rsidR="00000000" w:rsidRPr="00000000">
        <w:rPr>
          <w:rtl w:val="0"/>
        </w:rPr>
        <w:t xml:space="preserve">), do Processo Seletivo Unificado 2015.1 do IFCE para os campi de Acaraú, Aracatí, Baturité, Camocim, Canindé, Caucaia, Cedro, Crateús, Crato, Fortaleza, Iguatu, Jaguaribe, Juazeiro do Norte, Limoeiro do Norte, Maracanaú, Morada Nova, Quixadá, Sobral, Tabuleiro do Norte, Tauá, Tianguá, Ubajara e Umirim.</w:t>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 1º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Os Coordenadores dos respectivos Campi, são:</w:t>
      </w:r>
    </w:p>
    <w:p w:rsidR="00000000" w:rsidDel="00000000" w:rsidP="00000000" w:rsidRDefault="00000000" w:rsidRPr="00000000">
      <w:pPr>
        <w:widowControl w:val="0"/>
        <w:spacing w:line="276" w:lineRule="auto"/>
        <w:ind w:firstLine="720"/>
        <w:contextualSpacing w:val="0"/>
      </w:pPr>
      <w:r w:rsidDel="00000000" w:rsidR="00000000" w:rsidRPr="00000000">
        <w:rPr>
          <w:b w:val="1"/>
          <w:color w:val="ff0000"/>
          <w:rtl w:val="0"/>
        </w:rPr>
        <w:t xml:space="preserve"> </w:t>
      </w:r>
    </w:p>
    <w:tbl>
      <w:tblPr>
        <w:tblStyle w:val="Table1"/>
        <w:bidi w:val="0"/>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0"/>
        <w:gridCol w:w="2240"/>
        <w:gridCol w:w="4720"/>
        <w:gridCol w:w="1500"/>
        <w:tblGridChange w:id="0">
          <w:tblGrid>
            <w:gridCol w:w="560"/>
            <w:gridCol w:w="2240"/>
            <w:gridCol w:w="4720"/>
            <w:gridCol w:w="15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CAMPUS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NOME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SIAPE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Acaraú</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Francisco Edson do Nascimento Costa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1679092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Aracatí</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Lídia Farias Lima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2107619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Baturité</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Lourival Soares de Aquino Filho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1840914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Camocim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Regis Fernandes Vasconcelos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1671411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Canindé</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Cláudia Luisa Monteiro da Rocha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1679023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Caucaia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Andréa Santana de Freitas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1307547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Cedro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Antony Gleydson Lima Bastos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1795303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Crateús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Gabriela Catunda Peres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2107180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Crato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Antonia Salviano de Sousa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47265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Fortaleza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Rafael de Oliveira Ferreira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1676299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Iguatu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Pablo Ricardo Monteiro Dias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hd w:fill="fdfdfd" w:val="clear"/>
                <w:rtl w:val="0"/>
              </w:rPr>
              <w:t xml:space="preserve">1576925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Jaguaribe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José Arimatéia Ferreira Oliveira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1840943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Juazeiro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Sheyla Graziela Crispim Lacerda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1891324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Limoeiro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Leonara Rocha dos Santos Castro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2164704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Maracanaú</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José Elieudo Nascimento de Sousa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1955099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Morada Nova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Christiano Barbosa Porto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2165296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Quixadá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Rebeca Freitas Cavalcante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2166018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Sobral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Sônia Maria Aguiar Dias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2107818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Tabuleiro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Valton Chaves Maia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1840292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Tauá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Alexciano de Sousa Martins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shd w:fill="fdfdfd" w:val="clear"/>
                <w:rtl w:val="0"/>
              </w:rPr>
              <w:t xml:space="preserve">1942258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Tianguá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Paulo Henrique Calixto Moreira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1634115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Ubajara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Francisco Jocely Xavier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1954069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Umirim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Marieta Maria Martins Vieira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1525244</w:t>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2"/>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gridCol w:w="9026"/>
        <w:tblGridChange w:id="0">
          <w:tblGrid>
            <w:gridCol w:w="9026"/>
            <w:gridCol w:w="9026"/>
          </w:tblGrid>
        </w:tblGridChange>
      </w:tblGrid>
    </w:tbl>
    <w:p w:rsidR="00000000" w:rsidDel="00000000" w:rsidP="00000000" w:rsidRDefault="00000000" w:rsidRPr="00000000">
      <w:pPr>
        <w:widowControl w:val="0"/>
        <w:spacing w:line="276" w:lineRule="auto"/>
        <w:ind w:firstLine="720"/>
        <w:contextualSpacing w:val="0"/>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 2º </w:t>
      </w:r>
      <w:r w:rsidDel="00000000" w:rsidR="00000000" w:rsidRPr="00000000">
        <w:rPr>
          <w:rtl w:val="0"/>
        </w:rPr>
        <w:t xml:space="preserve">- A PROEN, juntamente com o Departamento de Ingresso, fará reunião para orientar os trabalhos dos coordenadores nomeados.</w:t>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ind w:firstLine="720"/>
        <w:contextualSpacing w:val="0"/>
        <w:jc w:val="both"/>
      </w:pPr>
      <w:r w:rsidDel="00000000" w:rsidR="00000000" w:rsidRPr="00000000">
        <w:rPr>
          <w:b w:val="1"/>
          <w:rtl w:val="0"/>
        </w:rPr>
        <w:t xml:space="preserve">PUBLIQUE-SE                        ANOTE-SE                      CUMPRA-SE</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ab/>
        <w:t xml:space="preserve">PRÓ-REITORIA DE ENSINO DO INSTITUTO FEDERAL DE EDUCAÇÃO CIÊNCIA E TECNOLOGIA DO CEARÁ, </w:t>
      </w:r>
      <w:r w:rsidDel="00000000" w:rsidR="00000000" w:rsidRPr="00000000">
        <w:rPr>
          <w:rtl w:val="0"/>
        </w:rPr>
        <w:t xml:space="preserve">19 </w:t>
      </w:r>
      <w:r w:rsidDel="00000000" w:rsidR="00000000" w:rsidRPr="00000000">
        <w:rPr>
          <w:rtl w:val="0"/>
        </w:rPr>
        <w:t xml:space="preserve">de janeiro de 2015.</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sz w:val="24"/>
          <w:szCs w:val="24"/>
          <w:highlight w:val="white"/>
          <w:rtl w:val="0"/>
        </w:rPr>
        <w:t xml:space="preserve">Reuber Saraiva de Santiago</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t xml:space="preserve">Pró-reitor de Ensino</w:t>
      </w:r>
    </w:p>
    <w:sectPr>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1"/>
      <w:spacing w:after="200" w:before="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