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16/2014/PROEN,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Artes, subárea de </w:t>
      </w:r>
      <w:r w:rsidDel="00000000" w:rsidR="00000000" w:rsidRPr="00000000">
        <w:rPr>
          <w:b w:val="1"/>
          <w:rtl w:val="0"/>
        </w:rPr>
        <w:t xml:space="preserve">Dança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</w:t>
      </w:r>
      <w:r w:rsidDel="00000000" w:rsidR="00000000" w:rsidRPr="00000000">
        <w:rPr>
          <w:sz w:val="20"/>
          <w:szCs w:val="20"/>
          <w:rtl w:val="0"/>
        </w:rPr>
        <w:t xml:space="preserve">PAULO SÉRGIO BRITO;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</w:t>
      </w:r>
      <w:r w:rsidDel="00000000" w:rsidR="00000000" w:rsidRPr="00000000">
        <w:rPr>
          <w:sz w:val="20"/>
          <w:szCs w:val="20"/>
          <w:rtl w:val="0"/>
        </w:rPr>
        <w:t xml:space="preserve">THIAGO ARRAIS PEREIRA;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</w:t>
      </w:r>
      <w:r w:rsidDel="00000000" w:rsidR="00000000" w:rsidRPr="00000000">
        <w:rPr>
          <w:sz w:val="20"/>
          <w:szCs w:val="20"/>
          <w:rtl w:val="0"/>
        </w:rPr>
        <w:t xml:space="preserve">PATRÍCIA RIBEIRO FEITOSA.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