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tabs>
          <w:tab w:val="center" w:pos="4252"/>
          <w:tab w:val="right" w:pos="8504"/>
        </w:tabs>
        <w:spacing w:after="0" w:before="0" w:line="240" w:lineRule="auto"/>
        <w:ind w:right="360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732790" cy="73215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32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center" w:pos="4252"/>
          <w:tab w:val="right" w:pos="8504"/>
        </w:tabs>
        <w:spacing w:after="0" w:before="0" w:line="240" w:lineRule="auto"/>
        <w:ind w:right="36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SERVIÇO PÚBLICO FEDERAL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PORTARIA Nº 002/2013/PROEN, DE 30 DE ABRIL DE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708"/>
        <w:contextualSpacing w:val="0"/>
        <w:jc w:val="both"/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O PRÓ-REITOR DE ENSINO DO INSTITUTO FEDERAL DE EDUCAÇÃO, CIÊNCIA E TECNOLOGIA DO CEARÁ, </w:t>
      </w:r>
      <w:r w:rsidDel="00000000" w:rsidR="00000000" w:rsidRPr="00000000">
        <w:rPr>
          <w:color w:val="000000"/>
          <w:vertAlign w:val="baseline"/>
          <w:rtl w:val="0"/>
        </w:rPr>
        <w:t xml:space="preserve">no uso de suas atribuições, considerando o Art. 9º, § 1º, da Resolução do Conselho Superior Nº 006, de 01 de fevereiro de 2012, e a Portaria Nº 366/GR, de 03 de abril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R E S O L V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Art. 1º -</w:t>
      </w:r>
      <w:r w:rsidDel="00000000" w:rsidR="00000000" w:rsidRPr="00000000">
        <w:rPr>
          <w:vertAlign w:val="baseline"/>
          <w:rtl w:val="0"/>
        </w:rPr>
        <w:t xml:space="preserve"> Criar comissão para processo de revalidação de diploma de curso de nível superior expedido no exterior, conferido ao senhor Bruno Miguel Batista da Silva Abranches Félix.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Parágrafo Único – </w:t>
      </w:r>
      <w:r w:rsidDel="00000000" w:rsidR="00000000" w:rsidRPr="00000000">
        <w:rPr>
          <w:vertAlign w:val="baseline"/>
          <w:rtl w:val="0"/>
        </w:rPr>
        <w:t xml:space="preserve">A comissão será composta pelos seguintes professores: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68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Simone Oliveira de Castro (Presidente da Comissão);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68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Antônio Roberto Ferreira Aragão;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68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Vanda Lúcia de Souza Borges.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0"/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Art. 2º</w:t>
      </w:r>
      <w:r w:rsidDel="00000000" w:rsidR="00000000" w:rsidRPr="00000000">
        <w:rPr>
          <w:vertAlign w:val="baseline"/>
          <w:rtl w:val="0"/>
        </w:rPr>
        <w:t xml:space="preserve"> - Fica estabelecido o prazo de 90 (noventa) dias para a conclusão dos trabalhos desta comissão.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0"/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PUBLIQUE-SE</w:t>
        <w:tab/>
        <w:tab/>
        <w:t xml:space="preserve">ANOTE-SE</w:t>
        <w:tab/>
        <w:tab/>
        <w:t xml:space="preserve">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PRÓ-REITORIA DE ENSINO DO INTITUTO FEDERAL DE EDUCAÇÃO, CIÊNCIA E TECNOLOGIA DO CEARÁ</w:t>
      </w:r>
      <w:r w:rsidDel="00000000" w:rsidR="00000000" w:rsidRPr="00000000">
        <w:rPr>
          <w:vertAlign w:val="baseline"/>
          <w:rtl w:val="0"/>
        </w:rPr>
        <w:t xml:space="preserve">, 30 de abril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360" w:lineRule="auto"/>
        <w:ind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360" w:lineRule="auto"/>
        <w:ind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4665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tabs>
          <w:tab w:val="left" w:pos="4665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8" w:w="11906"/>
      <w:pgMar w:bottom="1417" w:top="851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1068" w:firstLine="708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