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19/2014/PROEN, DE 20 DE MARÇO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a </w:t>
      </w:r>
      <w:r w:rsidDel="00000000" w:rsidR="00000000" w:rsidRPr="00000000">
        <w:rPr>
          <w:rtl w:val="0"/>
        </w:rPr>
        <w:t xml:space="preserve">a Portaria Nº 200/GR, de 28 de fevereiro de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Art. 1º</w:t>
      </w:r>
      <w:r w:rsidDel="00000000" w:rsidR="00000000" w:rsidRPr="00000000">
        <w:rPr>
          <w:sz w:val="24"/>
          <w:szCs w:val="24"/>
          <w:rtl w:val="0"/>
        </w:rPr>
        <w:t xml:space="preserve"> - Criar comissão para padronização da Matriz do Curso </w:t>
      </w:r>
      <w:r w:rsidDel="00000000" w:rsidR="00000000" w:rsidRPr="00000000">
        <w:rPr>
          <w:b w:val="1"/>
          <w:sz w:val="24"/>
          <w:szCs w:val="24"/>
          <w:rtl w:val="0"/>
        </w:rPr>
        <w:t xml:space="preserve">Técnico de Manutenção Automotiva</w:t>
      </w:r>
      <w:r w:rsidDel="00000000" w:rsidR="00000000" w:rsidRPr="00000000">
        <w:rPr>
          <w:sz w:val="24"/>
          <w:szCs w:val="24"/>
          <w:rtl w:val="0"/>
        </w:rPr>
        <w:t xml:space="preserve">, conforme Nota Técnica 001-2014-PROEN.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§ 1º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comissão será composta pelos seguintes Servidores Docentes: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   - José Heldenir Pinheiro Bezerra,         </w:t>
        <w:tab/>
        <w:t xml:space="preserve">Siape Nº 1165772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II  - Erbênia Lima de Oliveira,                   </w:t>
        <w:tab/>
        <w:t xml:space="preserve">Siape Nº 1981221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III - Valton Chaves Maia,                          </w:t>
        <w:tab/>
        <w:t xml:space="preserve">Siape Nº 1840292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IV - Alessandro Marques Maia,                </w:t>
        <w:tab/>
        <w:t xml:space="preserve">Siape Nº 1958547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§ 2º </w:t>
      </w:r>
      <w:r w:rsidDel="00000000" w:rsidR="00000000" w:rsidRPr="00000000">
        <w:rPr>
          <w:sz w:val="24"/>
          <w:szCs w:val="24"/>
          <w:rtl w:val="0"/>
        </w:rPr>
        <w:t xml:space="preserve">- A Comissão terá o prazo de 120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20 de março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