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20/2014/PROEN, DE 20 DE MARÇO DE 2014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padronização da Matriz do </w:t>
      </w:r>
      <w:r w:rsidDel="00000000" w:rsidR="00000000" w:rsidRPr="00000000">
        <w:rPr>
          <w:b w:val="1"/>
          <w:rtl w:val="0"/>
        </w:rPr>
        <w:t xml:space="preserve">Curso Técnico de Serviços de Restaurante e Bar</w:t>
      </w:r>
      <w:r w:rsidDel="00000000" w:rsidR="00000000" w:rsidRPr="00000000">
        <w:rPr>
          <w:rtl w:val="0"/>
        </w:rPr>
        <w:t xml:space="preserve">, conforme Nota Técnica 001-2014-PROEN.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comissão será composta pelos seguintes Servidores Docentes: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   - Maria Elisângela de Sousa     </w:t>
        <w:tab/>
        <w:t xml:space="preserve">                 </w:t>
        <w:tab/>
        <w:t xml:space="preserve">Siape Nº  1959154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  - Gilson Soares Cordeiro           </w:t>
        <w:tab/>
        <w:t xml:space="preserve">                 </w:t>
        <w:tab/>
        <w:t xml:space="preserve">Siape Nº  1958661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III - Joab Frakley da Silva Dantas </w:t>
        <w:tab/>
        <w:t xml:space="preserve">                 </w:t>
        <w:tab/>
        <w:t xml:space="preserve">Siape Nº  1543022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IV - Rosaline Ferreira de Oliveira  </w:t>
        <w:tab/>
        <w:t xml:space="preserve">                 </w:t>
        <w:tab/>
        <w:t xml:space="preserve">Siape Nº  1982687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V -  Patricia de Freitas Oliveira      </w:t>
        <w:tab/>
        <w:t xml:space="preserve">            </w:t>
        <w:tab/>
        <w:t xml:space="preserve">Siape Nº  1721855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VI - Joseilton Ferreira Lima Filho   </w:t>
        <w:tab/>
        <w:t xml:space="preserve">               </w:t>
        <w:tab/>
        <w:t xml:space="preserve">Siape Nº  1581285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120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20 de março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