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043/2014/PROEN, DE 04 DE NOVEMBRO DE 2014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processo de revalidação de diploma de Técnico em Edificações expedido no exterior, do senhor - Alessandro Invernizzi.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Parágrafo Único</w:t>
      </w:r>
      <w:r w:rsidDel="00000000" w:rsidR="00000000" w:rsidRPr="00000000">
        <w:rPr>
          <w:rtl w:val="0"/>
        </w:rPr>
        <w:t xml:space="preserve"> – A comissão será composta pelos seguintes professores: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Cláudio Turene Almeida Dornelles;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Antonio Edvar Andrade Filho;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Paulo César Cunha Lima.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CAEARÁ, </w:t>
      </w:r>
      <w:r w:rsidDel="00000000" w:rsidR="00000000" w:rsidRPr="00000000">
        <w:rPr>
          <w:rtl w:val="0"/>
        </w:rPr>
        <w:t xml:space="preserve">04 de novembro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