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62/2014/PROEN, DE 11 DEZEMBRO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Petroquímica, Modalidade Integrado,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CAUCAIA, tomando por base o Instrumental de Avaliação dos Novos Cursos,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Maria Miriam Carneiro Brasil de Matos Constantino - Pedagóga - Siape  1081245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highlight w:val="white"/>
          <w:rtl w:val="0"/>
        </w:rPr>
        <w:t xml:space="preserve">Carlos Henrique da Silva Sousa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Bibliotecário </w:t>
      </w:r>
      <w:r w:rsidDel="00000000" w:rsidR="00000000" w:rsidRPr="00000000">
        <w:rPr>
          <w:rtl w:val="0"/>
        </w:rPr>
        <w:t xml:space="preserve">- Siape 1675407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Daniel Gurgel Pinheiro - Docente - Siape 1674560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IV.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Ênio Costa -</w:t>
      </w:r>
      <w:r w:rsidDel="00000000" w:rsidR="00000000" w:rsidRPr="00000000">
        <w:rPr>
          <w:rtl w:val="0"/>
        </w:rPr>
        <w:t xml:space="preserve"> Docente - Siape 2723695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11 de dezembro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Jarbiani Sucupira Alves de Castro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5840" w:w="12240"/>
      <w:pgMar w:bottom="1190.5511811023623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