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045/2015/PROEN, 23 DE NOVEMBRO DE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Manutenção Automotiva, modalidade Integrado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de Tabuleiro do Norte,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Ricardo Liarth da Silva Cruz </w:t>
        <w:tab/>
        <w:tab/>
        <w:tab/>
        <w:t xml:space="preserve">Siape: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II.José Heldenir Pinheiro Bezerra </w:t>
        <w:tab/>
        <w:tab/>
        <w:tab/>
        <w:t xml:space="preserve">Siape: 1165772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III.Willys Machado Aguiar</w:t>
        <w:tab/>
        <w:tab/>
        <w:tab/>
        <w:tab/>
        <w:t xml:space="preserve">Siape: </w:t>
      </w:r>
      <w:r w:rsidDel="00000000" w:rsidR="00000000" w:rsidRPr="00000000">
        <w:rPr>
          <w:highlight w:val="white"/>
          <w:rtl w:val="0"/>
        </w:rPr>
        <w:t xml:space="preserve">269656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IV.Armênia Chaves Fernandes Vieira</w:t>
        <w:tab/>
        <w:tab/>
        <w:tab/>
        <w:t xml:space="preserve">Siape: 1681025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 Fátima Elisdeyne de Araújo Lima</w:t>
        <w:tab/>
        <w:tab/>
        <w:tab/>
        <w:t xml:space="preserve">Siape: 1898201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23  de novembro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