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09/2015 PROEN, DE 14 DE JANEIRO DE 2015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Sociologia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I.    JOAB FRANKLEY DA SILVA DANTAS;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II.  PAULO MASSEY SARAIVA NOGUEIRA.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14 de janeiro de 2015.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